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 w:eastAsia="黑体"/>
          <w:b/>
          <w:sz w:val="32"/>
        </w:rPr>
        <w:t>论文复刻报告</w:t>
      </w:r>
    </w:p>
    <w:p>
      <w:pPr>
        <w:jc w:val="center"/>
      </w:pPr>
      <w:r>
        <w:rPr>
          <w:rFonts w:ascii="宋体" w:hAnsi="宋体" w:eastAsia="宋体"/>
          <w:sz w:val="24"/>
        </w:rPr>
        <w:t>低碳转型冲击就业吗——来自低碳城市试点的经验证据</w:t>
      </w:r>
    </w:p>
    <w:p/>
    <w:p>
      <w:r>
        <w:rPr>
          <w:rFonts w:ascii="宋体" w:hAnsi="宋体" w:eastAsia="宋体"/>
          <w:sz w:val="24"/>
        </w:rPr>
        <w:t>表2报告了低碳城市试点政策对企业就业的影响。列(1)为不考虑控制变量时的结果，列(2)为加入控制变量后的结果。结果表明，低碳城市试点政策显著促进了企业就业，试点城市企业就业平均增加约5.7%。</w:t>
      </w:r>
    </w:p>
    <w:p>
      <w:pPr>
        <w:jc w:val="center"/>
      </w:pPr>
      <w:r>
        <w:rPr>
          <w:rFonts w:ascii="黑体" w:hAnsi="黑体" w:eastAsia="黑体"/>
          <w:b/>
          <w:sz w:val="22"/>
        </w:rPr>
        <w:t>表2  低碳城市试点政策对企业就业的影响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880"/>
        <w:gridCol w:w="2880"/>
        <w:gridCol w:w="2880"/>
      </w:tblGrid>
      <w:tr>
        <w:trPr/>
        <w:tc>
          <w:tcPr>
            <w:tcW w:type="dxa" w:w="2880"/>
            <w:tcBorders>
              <w:top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</w:r>
          </w:p>
        </w:tc>
        <w:tc>
          <w:tcPr>
            <w:tcW w:type="dxa" w:w="2880"/>
            <w:tcBorders>
              <w:top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(1)</w:t>
            </w:r>
          </w:p>
        </w:tc>
        <w:tc>
          <w:tcPr>
            <w:tcW w:type="dxa" w:w="2880"/>
            <w:tcBorders>
              <w:top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(2)</w:t>
            </w:r>
          </w:p>
        </w:tc>
      </w:tr>
      <w:tr>
        <w:trPr/>
        <w:tc>
          <w:tcPr>
            <w:tcW w:type="dxa" w:w="2880"/>
            <w:tcBorders>
              <w:bottom w:val="single" w:sz="6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</w:r>
          </w:p>
        </w:tc>
        <w:tc>
          <w:tcPr>
            <w:tcW w:type="dxa" w:w="2880"/>
            <w:tcBorders>
              <w:bottom w:val="single" w:sz="6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labor (1)</w:t>
            </w:r>
          </w:p>
        </w:tc>
        <w:tc>
          <w:tcPr>
            <w:tcW w:type="dxa" w:w="2880"/>
            <w:tcBorders>
              <w:bottom w:val="single" w:sz="6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labor (2)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lccpost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0.0629***</w:t>
              <w:br/>
              <w:t>(0.0228)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0.0572***</w:t>
              <w:br/>
              <w:t>(0.0173)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wage_v2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0.1913***</w:t>
              <w:br/>
              <w:t>(0.0112)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size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0.5009***</w:t>
              <w:br/>
              <w:t>(0.0190)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lev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0.0828</w:t>
              <w:br/>
              <w:t>(0.0600)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sell_ratio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0.9956***</w:t>
              <w:br/>
              <w:t>(0.1915)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ln_tax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0.0037***</w:t>
              <w:br/>
              <w:t>(0.0010)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growth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-0.7070***</w:t>
              <w:br/>
              <w:t>(0.0978)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roa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0.2211**</w:t>
              <w:br/>
              <w:t>(0.1119)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_cons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7.5383***</w:t>
              <w:br/>
              <w:t>(0.0114)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-6.6703***</w:t>
              <w:br/>
              <w:t>(0.3822)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N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30728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30711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调整后的R²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0.834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0.901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企业、年份固定效应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是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是</w:t>
            </w:r>
          </w:p>
        </w:tc>
      </w:tr>
      <w:tr>
        <w:trPr/>
        <w:tc>
          <w:tcPr>
            <w:tcW w:type="dxa" w:w="2880"/>
            <w:tcBorders>
              <w:bottom w:val="single" w:sz="12" w:space="0" w:color="000000"/>
            </w:tcBorders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控制变量</w:t>
            </w:r>
          </w:p>
        </w:tc>
        <w:tc>
          <w:tcPr>
            <w:tcW w:type="dxa" w:w="2880"/>
            <w:tcBorders>
              <w:bottom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否</w:t>
            </w:r>
          </w:p>
        </w:tc>
        <w:tc>
          <w:tcPr>
            <w:tcW w:type="dxa" w:w="2880"/>
            <w:tcBorders>
              <w:bottom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是</w:t>
            </w:r>
          </w:p>
        </w:tc>
      </w:tr>
    </w:tbl>
    <w:p>
      <w:r>
        <w:rPr>
          <w:rFonts w:ascii="宋体" w:hAnsi="宋体" w:eastAsia="宋体"/>
          <w:sz w:val="18"/>
        </w:rPr>
        <w:t>注：括号内为企业层面聚类稳健标准误。*、**和***分别表示10%、5%和1%的显著性水平。考虑了企业固定效应和年份固定效应。以下各表同。</w:t>
      </w:r>
    </w:p>
    <w:p/>
    <w:p>
      <w:r>
        <w:rPr>
          <w:rFonts w:ascii="宋体" w:hAnsi="宋体" w:eastAsia="宋体"/>
          <w:sz w:val="24"/>
        </w:rPr>
        <w:t>图2报告了平行趋势检验结果。政策实施前各期系数均不显著（围绕零线波动），说明试点和非试点城市企业在政策实施前并无显著差异，满足平行趋势假设。政策实施后系数逐渐增大且显著，呈现'先平后升'的形态。</w:t>
      </w:r>
    </w:p>
    <w:p>
      <w:pPr>
        <w:jc w:val="center"/>
      </w:pPr>
      <w:r>
        <w:rPr>
          <w:rFonts w:ascii="黑体" w:hAnsi="黑体" w:eastAsia="黑体"/>
          <w:b/>
          <w:sz w:val="22"/>
        </w:rPr>
        <w:t>图2  平行趋势检验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3352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事件研究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352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宋体" w:hAnsi="宋体" w:eastAsia="宋体"/>
          <w:sz w:val="18"/>
        </w:rPr>
        <w:t>注：实心点表示估计系数δ_t，短竖线为聚类到企业层面稳健标准误对应的95%上下置信区间。</w:t>
      </w:r>
    </w:p>
    <w:p/>
    <w:p>
      <w:r>
        <w:rPr>
          <w:rFonts w:ascii="宋体" w:hAnsi="宋体" w:eastAsia="宋体"/>
          <w:sz w:val="24"/>
        </w:rPr>
        <w:t>图3报告了城市安慰剂检验结果。通过500次随机替换处理组城市标签进行回归，假回归系数密集分布在0附近，且绝大多数结果不显著，真实系数位于分布的尾部，排除了基准估计结果由不可观测因素驱动的可能。</w:t>
      </w:r>
    </w:p>
    <w:p>
      <w:pPr>
        <w:jc w:val="center"/>
      </w:pPr>
      <w:r>
        <w:rPr>
          <w:rFonts w:ascii="黑体" w:hAnsi="黑体" w:eastAsia="黑体"/>
          <w:b/>
          <w:sz w:val="22"/>
        </w:rPr>
        <w:t>图3  安慰剂检验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33528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安慰剂检验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352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宋体" w:hAnsi="宋体" w:eastAsia="宋体"/>
          <w:sz w:val="18"/>
        </w:rPr>
        <w:t>注：橙色空心圆为500次随机化回归得到的系数与p值，蓝色曲线为系数的核密度分布，灰色虚线为零线，红色虚线为真实估计系数。</w:t>
      </w:r>
    </w:p>
    <w:p/>
    <w:p>
      <w:r>
        <w:rPr>
          <w:rFonts w:ascii="宋体" w:hAnsi="宋体" w:eastAsia="宋体"/>
          <w:sz w:val="24"/>
        </w:rPr>
        <w:t>表3报告了产出效应机制检验结果。列(1)显示低碳城市试点政策显著提高了企业产出（营业收入），列(2)显示企业产出的增加显著促进了企业就业。</w:t>
      </w:r>
    </w:p>
    <w:p>
      <w:pPr>
        <w:jc w:val="center"/>
      </w:pPr>
      <w:r>
        <w:rPr>
          <w:rFonts w:ascii="黑体" w:hAnsi="黑体" w:eastAsia="黑体"/>
          <w:b/>
          <w:sz w:val="22"/>
        </w:rPr>
        <w:t>表3  低碳城市试点政策通过产出效应对就业的影响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880"/>
        <w:gridCol w:w="2880"/>
        <w:gridCol w:w="2880"/>
      </w:tblGrid>
      <w:tr>
        <w:trPr/>
        <w:tc>
          <w:tcPr>
            <w:tcW w:type="dxa" w:w="2880"/>
            <w:tcBorders>
              <w:top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</w:r>
          </w:p>
        </w:tc>
        <w:tc>
          <w:tcPr>
            <w:tcW w:type="dxa" w:w="2880"/>
            <w:tcBorders>
              <w:top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(1)</w:t>
            </w:r>
          </w:p>
        </w:tc>
        <w:tc>
          <w:tcPr>
            <w:tcW w:type="dxa" w:w="2880"/>
            <w:tcBorders>
              <w:top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(2)</w:t>
            </w:r>
          </w:p>
        </w:tc>
      </w:tr>
      <w:tr>
        <w:trPr/>
        <w:tc>
          <w:tcPr>
            <w:tcW w:type="dxa" w:w="2880"/>
            <w:tcBorders>
              <w:bottom w:val="single" w:sz="6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</w:r>
          </w:p>
        </w:tc>
        <w:tc>
          <w:tcPr>
            <w:tcW w:type="dxa" w:w="2880"/>
            <w:tcBorders>
              <w:bottom w:val="single" w:sz="6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企业产出 (1)</w:t>
            </w:r>
          </w:p>
        </w:tc>
        <w:tc>
          <w:tcPr>
            <w:tcW w:type="dxa" w:w="2880"/>
            <w:tcBorders>
              <w:bottom w:val="single" w:sz="6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labor (2)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lccpost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3.3395</w:t>
              <w:br/>
              <w:t>(2.3264)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wage_v2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3.5752***</w:t>
              <w:br/>
              <w:t>(1.2230)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0.1888***</w:t>
              <w:br/>
              <w:t>(0.0112)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size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38.6330***</w:t>
              <w:br/>
              <w:t>(3.0541)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0.4831***</w:t>
              <w:br/>
              <w:t>(0.0197)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lev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11.4186*</w:t>
              <w:br/>
              <w:t>(6.3267)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0.0853</w:t>
              <w:br/>
              <w:t>(0.0600)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sell_ratio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-19.2626</w:t>
              <w:br/>
              <w:t>(17.2683)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1.0038***</w:t>
              <w:br/>
              <w:t>(0.1906)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ln_tax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0.4898***</w:t>
              <w:br/>
              <w:t>(0.1073)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0.0034***</w:t>
              <w:br/>
              <w:t>(0.0010)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growth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-76.5942***</w:t>
              <w:br/>
              <w:t>(10.6812)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-0.6733***</w:t>
              <w:br/>
              <w:t>(0.0972)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roa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113.9029***</w:t>
              <w:br/>
              <w:t>(10.8442)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0.1764</w:t>
              <w:br/>
              <w:t>(0.1134)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output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0.0004***</w:t>
              <w:br/>
              <w:t>(0.0001)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_cons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-843.5875***</w:t>
              <w:br/>
              <w:t>(71.6998)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-6.2388***</w:t>
              <w:br/>
              <w:t>(0.3993)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N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30692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30692</w:t>
            </w:r>
          </w:p>
        </w:tc>
      </w:tr>
      <w:tr>
        <w:trPr/>
        <w:tc>
          <w:tcPr>
            <w:tcW w:type="dxa" w:w="2880"/>
            <w:tcBorders>
              <w:bottom w:val="single" w:sz="12" w:space="0" w:color="000000"/>
            </w:tcBorders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调整后的R²</w:t>
            </w:r>
          </w:p>
        </w:tc>
        <w:tc>
          <w:tcPr>
            <w:tcW w:type="dxa" w:w="2880"/>
            <w:tcBorders>
              <w:bottom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0.867</w:t>
            </w:r>
          </w:p>
        </w:tc>
        <w:tc>
          <w:tcPr>
            <w:tcW w:type="dxa" w:w="2880"/>
            <w:tcBorders>
              <w:bottom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0.901</w:t>
            </w:r>
          </w:p>
        </w:tc>
      </w:tr>
    </w:tbl>
    <w:p>
      <w:r>
        <w:rPr>
          <w:rFonts w:ascii="宋体" w:hAnsi="宋体" w:eastAsia="宋体"/>
          <w:sz w:val="18"/>
        </w:rPr>
        <w:t>注：括号内为企业层面聚类稳健标准误。*、**和***分别表示10%、5%和1%的显著性水平。</w:t>
      </w:r>
    </w:p>
    <w:p/>
    <w:p>
      <w:r>
        <w:rPr>
          <w:rFonts w:ascii="宋体" w:hAnsi="宋体" w:eastAsia="宋体"/>
          <w:sz w:val="24"/>
        </w:rPr>
        <w:t>表4报告了要素替代效应机制检验结果。列(1)显示低碳城市试点政策显著促进了企业环境治理投资，列(2)显示环境治理投资的增加促进了企业就业。</w:t>
      </w:r>
    </w:p>
    <w:p>
      <w:pPr>
        <w:jc w:val="center"/>
      </w:pPr>
      <w:r>
        <w:rPr>
          <w:rFonts w:ascii="黑体" w:hAnsi="黑体" w:eastAsia="黑体"/>
          <w:b/>
          <w:sz w:val="22"/>
        </w:rPr>
        <w:t>表4  低碳城市试点政策通过要素替代效应对就业的影响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880"/>
        <w:gridCol w:w="2880"/>
        <w:gridCol w:w="2880"/>
      </w:tblGrid>
      <w:tr>
        <w:trPr/>
        <w:tc>
          <w:tcPr>
            <w:tcW w:type="dxa" w:w="2880"/>
            <w:tcBorders>
              <w:top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</w:r>
          </w:p>
        </w:tc>
        <w:tc>
          <w:tcPr>
            <w:tcW w:type="dxa" w:w="2880"/>
            <w:tcBorders>
              <w:top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(1)</w:t>
            </w:r>
          </w:p>
        </w:tc>
        <w:tc>
          <w:tcPr>
            <w:tcW w:type="dxa" w:w="2880"/>
            <w:tcBorders>
              <w:top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(2)</w:t>
            </w:r>
          </w:p>
        </w:tc>
      </w:tr>
      <w:tr>
        <w:trPr/>
        <w:tc>
          <w:tcPr>
            <w:tcW w:type="dxa" w:w="2880"/>
            <w:tcBorders>
              <w:bottom w:val="single" w:sz="6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</w:r>
          </w:p>
        </w:tc>
        <w:tc>
          <w:tcPr>
            <w:tcW w:type="dxa" w:w="2880"/>
            <w:tcBorders>
              <w:bottom w:val="single" w:sz="6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环境治理投资 (1)</w:t>
            </w:r>
          </w:p>
        </w:tc>
        <w:tc>
          <w:tcPr>
            <w:tcW w:type="dxa" w:w="2880"/>
            <w:tcBorders>
              <w:bottom w:val="single" w:sz="6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labor (2)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lccpost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0.0010</w:t>
              <w:br/>
              <w:t>(0.0012)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wage_v2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-0.0000</w:t>
              <w:br/>
              <w:t>(0.0006)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0.1912***</w:t>
              <w:br/>
              <w:t>(0.0112)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size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0.0047***</w:t>
              <w:br/>
              <w:t>(0.0010)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0.4981***</w:t>
              <w:br/>
              <w:t>(0.0188)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lev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-0.0090***</w:t>
              <w:br/>
              <w:t>(0.0035)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0.0900</w:t>
              <w:br/>
              <w:t>(0.0597)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sell_ratio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0.0156</w:t>
              <w:br/>
              <w:t>(0.0099)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0.9964***</w:t>
              <w:br/>
              <w:t>(0.1902)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ln_tax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0.0003***</w:t>
              <w:br/>
              <w:t>(0.0001)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0.0037***</w:t>
              <w:br/>
              <w:t>(0.0009)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growth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0.0161***</w:t>
              <w:br/>
              <w:t>(0.0055)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-0.7144***</w:t>
              <w:br/>
              <w:t>(0.0977)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roa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0.0447***</w:t>
              <w:br/>
              <w:t>(0.0067)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0.1736</w:t>
              <w:br/>
              <w:t>(0.1122)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env_invest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0.5880***</w:t>
              <w:br/>
              <w:t>(0.1144)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_cons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-0.0603***</w:t>
              <w:br/>
              <w:t>(0.0196)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-6.6060***</w:t>
              <w:br/>
              <w:t>(0.3801)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N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30696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30696</w:t>
            </w:r>
          </w:p>
        </w:tc>
      </w:tr>
      <w:tr>
        <w:trPr/>
        <w:tc>
          <w:tcPr>
            <w:tcW w:type="dxa" w:w="2880"/>
            <w:tcBorders>
              <w:bottom w:val="single" w:sz="12" w:space="0" w:color="000000"/>
            </w:tcBorders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调整后的R²</w:t>
            </w:r>
          </w:p>
        </w:tc>
        <w:tc>
          <w:tcPr>
            <w:tcW w:type="dxa" w:w="2880"/>
            <w:tcBorders>
              <w:bottom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0.426</w:t>
            </w:r>
          </w:p>
        </w:tc>
        <w:tc>
          <w:tcPr>
            <w:tcW w:type="dxa" w:w="2880"/>
            <w:tcBorders>
              <w:bottom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0.901</w:t>
            </w:r>
          </w:p>
        </w:tc>
      </w:tr>
    </w:tbl>
    <w:p>
      <w:r>
        <w:rPr>
          <w:rFonts w:ascii="宋体" w:hAnsi="宋体" w:eastAsia="宋体"/>
          <w:sz w:val="18"/>
        </w:rPr>
        <w:t>注：括号内为企业层面聚类稳健标准误。*、**和***分别表示10%、5%和1%的显著性水平。环境治理投资用购建固定资产、无形资产和其他长期资产支付的现金与资产总计的比值衡量。</w:t>
      </w:r>
    </w:p>
    <w:p/>
    <w:p>
      <w:r>
        <w:rPr>
          <w:rFonts w:ascii="宋体" w:hAnsi="宋体" w:eastAsia="宋体"/>
          <w:sz w:val="24"/>
        </w:rPr>
        <w:t>表5报告了异质性分析结果。低碳城市试点政策对不同所有制企业就业的影响存在差异，该政策主要促进了国有企业和民营企业的就业；在不同年龄的企业中，该政策促进了新企业的就业，对旧企业的影响不显著。</w:t>
      </w:r>
    </w:p>
    <w:p>
      <w:pPr>
        <w:jc w:val="center"/>
      </w:pPr>
      <w:r>
        <w:rPr>
          <w:rFonts w:ascii="黑体" w:hAnsi="黑体" w:eastAsia="黑体"/>
          <w:b/>
          <w:sz w:val="22"/>
        </w:rPr>
        <w:t>表5  低碳城市试点政策对不同所有制、不同年龄企业就业的影响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40"/>
        <w:gridCol w:w="1440"/>
        <w:gridCol w:w="1440"/>
        <w:gridCol w:w="1440"/>
        <w:gridCol w:w="1440"/>
        <w:gridCol w:w="1440"/>
      </w:tblGrid>
      <w:tr>
        <w:trPr/>
        <w:tc>
          <w:tcPr>
            <w:tcW w:type="dxa" w:w="1440"/>
            <w:tcBorders>
              <w:top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</w:r>
          </w:p>
        </w:tc>
        <w:tc>
          <w:tcPr>
            <w:tcW w:type="dxa" w:w="1440"/>
            <w:tcBorders>
              <w:top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(1)</w:t>
            </w:r>
          </w:p>
        </w:tc>
        <w:tc>
          <w:tcPr>
            <w:tcW w:type="dxa" w:w="1440"/>
            <w:tcBorders>
              <w:top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(2)</w:t>
            </w:r>
          </w:p>
        </w:tc>
        <w:tc>
          <w:tcPr>
            <w:tcW w:type="dxa" w:w="1440"/>
            <w:tcBorders>
              <w:top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(3)</w:t>
            </w:r>
          </w:p>
        </w:tc>
        <w:tc>
          <w:tcPr>
            <w:tcW w:type="dxa" w:w="1440"/>
            <w:tcBorders>
              <w:top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(4)</w:t>
            </w:r>
          </w:p>
        </w:tc>
        <w:tc>
          <w:tcPr>
            <w:tcW w:type="dxa" w:w="1440"/>
            <w:tcBorders>
              <w:top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(5)</w:t>
            </w:r>
          </w:p>
        </w:tc>
      </w:tr>
      <w:tr>
        <w:trPr/>
        <w:tc>
          <w:tcPr>
            <w:tcW w:type="dxa" w:w="1440"/>
            <w:tcBorders>
              <w:bottom w:val="single" w:sz="6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</w:r>
          </w:p>
        </w:tc>
        <w:tc>
          <w:tcPr>
            <w:tcW w:type="dxa" w:w="1440"/>
            <w:tcBorders>
              <w:bottom w:val="single" w:sz="6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国有企业 (1)</w:t>
            </w:r>
          </w:p>
        </w:tc>
        <w:tc>
          <w:tcPr>
            <w:tcW w:type="dxa" w:w="1440"/>
            <w:tcBorders>
              <w:bottom w:val="single" w:sz="6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民营企业 (2)</w:t>
            </w:r>
          </w:p>
        </w:tc>
        <w:tc>
          <w:tcPr>
            <w:tcW w:type="dxa" w:w="1440"/>
            <w:tcBorders>
              <w:bottom w:val="single" w:sz="6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外资企业 (3)</w:t>
            </w:r>
          </w:p>
        </w:tc>
        <w:tc>
          <w:tcPr>
            <w:tcW w:type="dxa" w:w="1440"/>
            <w:tcBorders>
              <w:bottom w:val="single" w:sz="6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旧企业 (4)</w:t>
            </w:r>
          </w:p>
        </w:tc>
        <w:tc>
          <w:tcPr>
            <w:tcW w:type="dxa" w:w="1440"/>
            <w:tcBorders>
              <w:bottom w:val="single" w:sz="6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新企业 (5)</w:t>
            </w:r>
          </w:p>
        </w:tc>
      </w:tr>
      <w:tr>
        <w:tc>
          <w:tcPr>
            <w:tcW w:type="dxa" w:w="144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lccpost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0.0943***</w:t>
              <w:br/>
              <w:t>(0.0256)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0.0188</w:t>
              <w:br/>
              <w:t>(0.0234)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0.0787</w:t>
              <w:br/>
              <w:t>(0.0811)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0.0293</w:t>
              <w:br/>
              <w:t>(0.0276)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0.0369*</w:t>
              <w:br/>
              <w:t>(0.0197)</w:t>
            </w:r>
          </w:p>
        </w:tc>
      </w:tr>
      <w:tr>
        <w:tc>
          <w:tcPr>
            <w:tcW w:type="dxa" w:w="144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wage_v2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0.1592***</w:t>
              <w:br/>
              <w:t>(0.0150)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0.2078***</w:t>
              <w:br/>
              <w:t>(0.0166)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0.2782***</w:t>
              <w:br/>
              <w:t>(0.0533)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0.1941***</w:t>
              <w:br/>
              <w:t>(0.0173)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0.1548***</w:t>
              <w:br/>
              <w:t>(0.0138)</w:t>
            </w:r>
          </w:p>
        </w:tc>
      </w:tr>
      <w:tr>
        <w:tc>
          <w:tcPr>
            <w:tcW w:type="dxa" w:w="144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size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0.4806***</w:t>
              <w:br/>
              <w:t>(0.0316)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0.5146***</w:t>
              <w:br/>
              <w:t>(0.0237)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0.6544***</w:t>
              <w:br/>
              <w:t>(0.0890)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0.5075***</w:t>
              <w:br/>
              <w:t>(0.0290)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0.4867***</w:t>
              <w:br/>
              <w:t>(0.0253)</w:t>
            </w:r>
          </w:p>
        </w:tc>
      </w:tr>
      <w:tr>
        <w:tc>
          <w:tcPr>
            <w:tcW w:type="dxa" w:w="144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lev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0.0774</w:t>
              <w:br/>
              <w:t>(0.1064)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0.1111</w:t>
              <w:br/>
              <w:t>(0.0705)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-0.2038</w:t>
              <w:br/>
              <w:t>(0.3143)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0.0804</w:t>
              <w:br/>
              <w:t>(0.0949)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0.1140*</w:t>
              <w:br/>
              <w:t>(0.0648)</w:t>
            </w:r>
          </w:p>
        </w:tc>
      </w:tr>
      <w:tr>
        <w:tc>
          <w:tcPr>
            <w:tcW w:type="dxa" w:w="144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sell_ratio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0.8771*</w:t>
              <w:br/>
              <w:t>(0.4899)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1.0321***</w:t>
              <w:br/>
              <w:t>(0.2004)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1.6134</w:t>
              <w:br/>
              <w:t>(1.1180)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0.8921***</w:t>
              <w:br/>
              <w:t>(0.3173)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0.8930***</w:t>
              <w:br/>
              <w:t>(0.2339)</w:t>
            </w:r>
          </w:p>
        </w:tc>
      </w:tr>
      <w:tr>
        <w:tc>
          <w:tcPr>
            <w:tcW w:type="dxa" w:w="144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ln_tax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0.0050***</w:t>
              <w:br/>
              <w:t>(0.0015)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0.0033***</w:t>
              <w:br/>
              <w:t>(0.0012)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-0.0014</w:t>
              <w:br/>
              <w:t>(0.0056)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0.0045***</w:t>
              <w:br/>
              <w:t>(0.0013)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0.0026***</w:t>
              <w:br/>
              <w:t>(0.0010)</w:t>
            </w:r>
          </w:p>
        </w:tc>
      </w:tr>
      <w:tr>
        <w:tc>
          <w:tcPr>
            <w:tcW w:type="dxa" w:w="144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growth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-0.6330***</w:t>
              <w:br/>
              <w:t>(0.1761)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-0.6199***</w:t>
              <w:br/>
              <w:t>(0.1276)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-1.3628***</w:t>
              <w:br/>
              <w:t>(0.3990)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-0.6702***</w:t>
              <w:br/>
              <w:t>(0.1471)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-0.3467***</w:t>
              <w:br/>
              <w:t>(0.1199)</w:t>
            </w:r>
          </w:p>
        </w:tc>
      </w:tr>
      <w:tr>
        <w:tc>
          <w:tcPr>
            <w:tcW w:type="dxa" w:w="144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roa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-0.2598</w:t>
              <w:br/>
              <w:t>(0.2190)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0.2138*</w:t>
              <w:br/>
              <w:t>(0.1243)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0.7220</w:t>
              <w:br/>
              <w:t>(0.6449)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-0.0242</w:t>
              <w:br/>
              <w:t>(0.1509)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0.0737</w:t>
              <w:br/>
              <w:t>(0.1241)</w:t>
            </w:r>
          </w:p>
        </w:tc>
      </w:tr>
      <w:tr>
        <w:tc>
          <w:tcPr>
            <w:tcW w:type="dxa" w:w="144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_cons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-5.6776***</w:t>
              <w:br/>
              <w:t>(0.6552)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-7.2364***</w:t>
              <w:br/>
              <w:t>(0.4496)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-11.1965***</w:t>
              <w:br/>
              <w:t>(1.8200)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-6.9347***</w:t>
              <w:br/>
              <w:t>(0.5986)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-5.7198***</w:t>
              <w:br/>
              <w:t>(0.5451)</w:t>
            </w:r>
          </w:p>
        </w:tc>
      </w:tr>
      <w:tr>
        <w:tc>
          <w:tcPr>
            <w:tcW w:type="dxa" w:w="1440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N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12650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15620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1032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15186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14344</w:t>
            </w:r>
          </w:p>
        </w:tc>
      </w:tr>
      <w:tr>
        <w:trPr/>
        <w:tc>
          <w:tcPr>
            <w:tcW w:type="dxa" w:w="1440"/>
            <w:tcBorders>
              <w:bottom w:val="single" w:sz="12" w:space="0" w:color="000000"/>
            </w:tcBorders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调整后的R²</w:t>
            </w:r>
          </w:p>
        </w:tc>
        <w:tc>
          <w:tcPr>
            <w:tcW w:type="dxa" w:w="1440"/>
            <w:tcBorders>
              <w:bottom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0.900</w:t>
            </w:r>
          </w:p>
        </w:tc>
        <w:tc>
          <w:tcPr>
            <w:tcW w:type="dxa" w:w="1440"/>
            <w:tcBorders>
              <w:bottom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0.898</w:t>
            </w:r>
          </w:p>
        </w:tc>
        <w:tc>
          <w:tcPr>
            <w:tcW w:type="dxa" w:w="1440"/>
            <w:tcBorders>
              <w:bottom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0.918</w:t>
            </w:r>
          </w:p>
        </w:tc>
        <w:tc>
          <w:tcPr>
            <w:tcW w:type="dxa" w:w="1440"/>
            <w:tcBorders>
              <w:bottom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0.914</w:t>
            </w:r>
          </w:p>
        </w:tc>
        <w:tc>
          <w:tcPr>
            <w:tcW w:type="dxa" w:w="1440"/>
            <w:tcBorders>
              <w:bottom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0.935</w:t>
            </w:r>
          </w:p>
        </w:tc>
      </w:tr>
    </w:tbl>
    <w:p>
      <w:r>
        <w:rPr>
          <w:rFonts w:ascii="宋体" w:hAnsi="宋体" w:eastAsia="宋体"/>
          <w:sz w:val="18"/>
        </w:rPr>
        <w:t>注：括号内为企业层面聚类稳健标准误。*、**和***分别表示10%、5%和1%的显著性水平。</w:t>
      </w:r>
    </w:p>
    <w:p/>
    <w:p>
      <w:r>
        <w:rPr>
          <w:rFonts w:ascii="宋体" w:hAnsi="宋体" w:eastAsia="宋体"/>
          <w:sz w:val="24"/>
        </w:rPr>
        <w:t>表6报告了产业异质性分析结果。低碳城市试点政策促进了第二产业企业就业，但对第三产业企业就业的影响不显著；在不同碳排放强度的行业中，低碳行业的就业促进作用更强。</w:t>
      </w:r>
    </w:p>
    <w:p>
      <w:pPr>
        <w:jc w:val="center"/>
      </w:pPr>
      <w:r>
        <w:rPr>
          <w:rFonts w:ascii="黑体" w:hAnsi="黑体" w:eastAsia="黑体"/>
          <w:b/>
          <w:sz w:val="22"/>
        </w:rPr>
        <w:t>表6  低碳城市试点政策对不同产业、不同碳排放强度行业就业的影响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W w:type="dxa" w:w="1728"/>
            <w:tcBorders>
              <w:top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</w:r>
          </w:p>
        </w:tc>
        <w:tc>
          <w:tcPr>
            <w:tcW w:type="dxa" w:w="1728"/>
            <w:tcBorders>
              <w:top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(1)</w:t>
            </w:r>
          </w:p>
        </w:tc>
        <w:tc>
          <w:tcPr>
            <w:tcW w:type="dxa" w:w="1728"/>
            <w:tcBorders>
              <w:top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(2)</w:t>
            </w:r>
          </w:p>
        </w:tc>
        <w:tc>
          <w:tcPr>
            <w:tcW w:type="dxa" w:w="1728"/>
            <w:tcBorders>
              <w:top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(3)</w:t>
            </w:r>
          </w:p>
        </w:tc>
        <w:tc>
          <w:tcPr>
            <w:tcW w:type="dxa" w:w="1728"/>
            <w:tcBorders>
              <w:top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20"/>
              </w:rPr>
              <w:t>(4)</w:t>
            </w:r>
          </w:p>
        </w:tc>
      </w:tr>
      <w:tr>
        <w:trPr/>
        <w:tc>
          <w:tcPr>
            <w:tcW w:type="dxa" w:w="1728"/>
            <w:tcBorders>
              <w:bottom w:val="single" w:sz="6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</w:r>
          </w:p>
        </w:tc>
        <w:tc>
          <w:tcPr>
            <w:tcW w:type="dxa" w:w="1728"/>
            <w:tcBorders>
              <w:bottom w:val="single" w:sz="6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第二产业 (1)</w:t>
            </w:r>
          </w:p>
        </w:tc>
        <w:tc>
          <w:tcPr>
            <w:tcW w:type="dxa" w:w="1728"/>
            <w:tcBorders>
              <w:bottom w:val="single" w:sz="6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第三产业 (2)</w:t>
            </w:r>
          </w:p>
        </w:tc>
        <w:tc>
          <w:tcPr>
            <w:tcW w:type="dxa" w:w="1728"/>
            <w:tcBorders>
              <w:bottom w:val="single" w:sz="6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高碳行业 (3)</w:t>
            </w:r>
          </w:p>
        </w:tc>
        <w:tc>
          <w:tcPr>
            <w:tcW w:type="dxa" w:w="1728"/>
            <w:tcBorders>
              <w:bottom w:val="single" w:sz="6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低碳行业 (4)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lccpost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0.0375**</w:t>
              <w:br/>
              <w:t>(0.0177)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0.0545</w:t>
              <w:br/>
              <w:t>(0.0336)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0.0531</w:t>
              <w:br/>
              <w:t>(0.0332)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0.0299</w:t>
              <w:br/>
              <w:t>(0.0204)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wage_v2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0.1494***</w:t>
              <w:br/>
              <w:t>(0.0109)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0.2009***</w:t>
              <w:br/>
              <w:t>(0.0213)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0.1187***</w:t>
              <w:br/>
              <w:t>(0.0188)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0.1551***</w:t>
              <w:br/>
              <w:t>(0.0123)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size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0.5414***</w:t>
              <w:br/>
              <w:t>(0.0203)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0.4588***</w:t>
              <w:br/>
              <w:t>(0.0354)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0.5648***</w:t>
              <w:br/>
              <w:t>(0.0385)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0.5210***</w:t>
              <w:br/>
              <w:t>(0.0230)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lev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0.1526**</w:t>
              <w:br/>
              <w:t>(0.0637)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0.1490</w:t>
              <w:br/>
              <w:t>(0.1023)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0.1307</w:t>
              <w:br/>
              <w:t>(0.1139)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0.1542**</w:t>
              <w:br/>
              <w:t>(0.0772)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sell_ratio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0.7942***</w:t>
              <w:br/>
              <w:t>(0.1950)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1.1052***</w:t>
              <w:br/>
              <w:t>(0.3307)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0.9477</w:t>
              <w:br/>
              <w:t>(0.7238)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0.6836***</w:t>
              <w:br/>
              <w:t>(0.2181)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ln_tax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0.0037***</w:t>
              <w:br/>
              <w:t>(0.0010)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0.0010</w:t>
              <w:br/>
              <w:t>(0.0019)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0.0047***</w:t>
              <w:br/>
              <w:t>(0.0015)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0.0027**</w:t>
              <w:br/>
              <w:t>(0.0012)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growth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-0.5624***</w:t>
              <w:br/>
              <w:t>(0.1198)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-0.4723***</w:t>
              <w:br/>
              <w:t>(0.1521)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-0.2782*</w:t>
              <w:br/>
              <w:t>(0.1652)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-0.5863***</w:t>
              <w:br/>
              <w:t>(0.1624)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roa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0.0164</w:t>
              <w:br/>
              <w:t>(0.1305)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0.4400**</w:t>
              <w:br/>
              <w:t>(0.1986)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-0.5520**</w:t>
              <w:br/>
              <w:t>(0.2591)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0.2394*</w:t>
              <w:br/>
              <w:t>(0.1435)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_cons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-6.7607***</w:t>
              <w:br/>
              <w:t>(0.4071)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-6.3391***</w:t>
              <w:br/>
              <w:t>(0.7001)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-6.9302***</w:t>
              <w:br/>
              <w:t>(0.8113)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-6.3447***</w:t>
              <w:br/>
              <w:t>(0.4574)</w:t>
            </w:r>
          </w:p>
        </w:tc>
      </w:tr>
      <w:tr>
        <w:tc>
          <w:tcPr>
            <w:tcW w:type="dxa" w:w="1728"/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N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22261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7923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5919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16313</w:t>
            </w:r>
          </w:p>
        </w:tc>
      </w:tr>
      <w:tr>
        <w:trPr/>
        <w:tc>
          <w:tcPr>
            <w:tcW w:type="dxa" w:w="1728"/>
            <w:tcBorders>
              <w:bottom w:val="single" w:sz="12" w:space="0" w:color="000000"/>
            </w:tcBorders>
          </w:tcPr>
          <w:p>
            <w:pPr>
              <w:jc w:val="left"/>
            </w:pPr>
            <w:r>
              <w:rPr>
                <w:rFonts w:ascii="宋体" w:hAnsi="宋体" w:eastAsia="宋体"/>
                <w:sz w:val="20"/>
              </w:rPr>
              <w:t>调整后的R²</w:t>
            </w:r>
          </w:p>
        </w:tc>
        <w:tc>
          <w:tcPr>
            <w:tcW w:type="dxa" w:w="1728"/>
            <w:tcBorders>
              <w:bottom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0.917</w:t>
            </w:r>
          </w:p>
        </w:tc>
        <w:tc>
          <w:tcPr>
            <w:tcW w:type="dxa" w:w="1728"/>
            <w:tcBorders>
              <w:bottom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0.903</w:t>
            </w:r>
          </w:p>
        </w:tc>
        <w:tc>
          <w:tcPr>
            <w:tcW w:type="dxa" w:w="1728"/>
            <w:tcBorders>
              <w:bottom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0.928</w:t>
            </w:r>
          </w:p>
        </w:tc>
        <w:tc>
          <w:tcPr>
            <w:tcW w:type="dxa" w:w="1728"/>
            <w:tcBorders>
              <w:bottom w:val="single" w:sz="12" w:space="0" w:color="000000"/>
            </w:tcBorders>
          </w:tcPr>
          <w:p>
            <w:pPr>
              <w:jc w:val="center"/>
            </w:pPr>
            <w:r>
              <w:rPr>
                <w:rFonts w:ascii="宋体" w:hAnsi="宋体" w:eastAsia="宋体"/>
                <w:sz w:val="20"/>
              </w:rPr>
              <w:t>0.917</w:t>
            </w:r>
          </w:p>
        </w:tc>
      </w:tr>
    </w:tbl>
    <w:p>
      <w:r>
        <w:rPr>
          <w:rFonts w:ascii="宋体" w:hAnsi="宋体" w:eastAsia="宋体"/>
          <w:sz w:val="18"/>
        </w:rPr>
        <w:t>注：括号内为企业层面聚类稳健标准误。*、**和***分别表示10%、5%和1%的显著性水平。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